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color w:val="5A5A5A"/>
          <w:sz w:val="22"/>
          <w:szCs w:val="22"/>
        </w:rPr>
        <w:t>Listing Strategy Decision Record (LSDR™)</w:t>
      </w:r>
    </w:p>
    <w:p>
      <w:pPr>
        <w:pStyle w:val="Title"/>
      </w:pPr>
      <w:r>
        <w:t xml:space="preserve">Listing-Appointment Kit</w:t>
      </w:r>
    </w:p>
    <w:p>
      <w:pPr>
        <w:spacing w:after="140"/>
        <w:rPr>
          <w:i/>
          <w:iCs/>
          <w:color w:val="5A5A5A"/>
        </w:rPr>
      </w:pPr>
      <w:r>
        <w:t>A practical guide to making your professional judgment visible in the listing appointment—and documenting the decisions and instructions that follow.</w:t>
      </w:r>
    </w:p>
    <w:p>
      <w:pPr>
        <w:pBdr>
          <w:left w:val="single" w:color="1F3A5F" w:sz="18" w:space="6"/>
        </w:pBdr>
        <w:shd w:fill="EEF2F6" w:color="auto" w:val="clear"/>
        <w:spacing w:after="60" w:before="240"/>
      </w:pPr>
      <w:r>
        <w:rPr>
          <w:b/>
          <w:bCs/>
          <w:caps/>
          <w:color w:val="1F3A5F"/>
          <w:sz w:val="18"/>
          <w:szCs w:val="18"/>
        </w:rPr>
        <w:t xml:space="preserve">How to use this kit</w:t>
      </w:r>
    </w:p>
    <w:p>
      <w:pPr>
        <w:pBdr>
          <w:left w:val="single" w:color="1F3A5F" w:sz="18" w:space="6"/>
        </w:pBdr>
        <w:shd w:fill="EEF2F6" w:color="auto" w:val="clear"/>
        <w:spacing w:after="60"/>
      </w:pPr>
      <w:r>
        <w:rPr>
          <w:color w:val="5A5A5A"/>
          <w:sz w:val="20"/>
          <w:szCs w:val="20"/>
        </w:rPr>
        <w:t xml:space="preserve">Seller-facing copy is in regular text. Shaded blocks like this one are for you only; do not read them to sellers or print them on handouts.</w:t>
      </w:r>
    </w:p>
    <w:p>
      <w:pPr>
        <w:pBdr>
          <w:left w:val="single" w:color="1F3A5F" w:sz="18" w:space="6"/>
        </w:pBdr>
        <w:shd w:fill="EEF2F6" w:color="auto" w:val="clear"/>
        <w:spacing w:after="60"/>
      </w:pPr>
      <w:r>
        <w:rPr>
          <w:color w:val="5A5A5A"/>
          <w:sz w:val="20"/>
          <w:szCs w:val="20"/>
        </w:rPr>
        <w:t xml:space="preserve">The copy is written in “we” voice. If you work individually, change we/our to I/my, except where “we” means you and the seller together.</w:t>
      </w:r>
    </w:p>
    <w:p>
      <w:pPr>
        <w:pBdr>
          <w:left w:val="single" w:color="1F3A5F" w:sz="18" w:space="6"/>
        </w:pBdr>
        <w:shd w:fill="EEF2F6" w:color="auto" w:val="clear"/>
        <w:spacing w:after="60"/>
      </w:pPr>
      <w:r>
        <w:rPr>
          <w:color w:val="5A5A5A"/>
          <w:sz w:val="20"/>
          <w:szCs w:val="20"/>
        </w:rPr>
        <w:t xml:space="preserve">Confirm which exposure and field-level display settings your MLS offers before presenting them as available choices.</w:t>
      </w:r>
    </w:p>
    <w:p>
      <w:pPr>
        <w:pStyle w:val="KitSection"/>
      </w:pPr>
      <w:r>
        <w:t>Why this matters to your listing appointment</w:t>
      </w:r>
    </w:p>
    <w:p>
      <w:r>
        <w:t>You know the thinking behind your pricing and marketing recommendations. How much of it does a prospective seller get to experience? LSDR helps make that professional judgment visible through a seller-participatory decision conversation—and connects the outcome to confirmed instructions.</w:t>
      </w:r>
    </w:p>
    <w:p>
      <w:r>
        <w:t>This is not a replacement for a CMA or an agent’s judgment. It gives your existing conversation structure, helps keep relevant choices from being overlooked, and makes the resulting decision reviewable by the seller, agent, and brokerage.</w:t>
      </w:r>
    </w:p>
    <w:p>
      <w:pPr>
        <w:pStyle w:val="KitSection"/>
      </w:pPr>
      <w:r>
        <w:t>Where it fits</w:t>
      </w:r>
    </w:p>
    <w:p>
      <w:r>
        <w:t>Two-step appointments: use the first meeting for discovery (goals, timing, occupancy, privacy, constraints). In the strategy appointment, after discussing pricing and net proceeds but before finalizing the marketing plan, use relevant LSDR sections to explore priorities, alternatives, and tradeoffs.</w:t>
      </w:r>
    </w:p>
    <w:p>
      <w:r>
        <w:t>One-step appointments: follow the same sequence within one meeting. Keep the initial discussion focused on what matters to the seller; go deeper on restricted marketing only when relevant.</w:t>
      </w:r>
    </w:p>
    <w:p>
      <w:r>
        <w:t>Before engagement, let the seller experience the real decision conversation without issuing a finalized record. After engagement, complete the seller-specific LSDR for review and confirmation. Use it on every listing, including ordinary public MLS listings.</w:t>
      </w:r>
    </w:p>
    <w:p>
      <w:pPr>
        <w:pStyle w:val="Heading1"/>
        <w:keepNext/>
      </w:pPr>
      <w:r>
        <w:t xml:space="preserve">1. 60-Second Spoken Introduction</w:t>
      </w:r>
    </w:p>
    <w:p>
      <w:pPr>
        <w:spacing w:after="140"/>
      </w:pPr>
      <w:r>
        <w:t>Your home, goals, timing, and current market all influence the strategy. Before we finalize how your home will be marketed, I would like you to be part of the decisions that shape it.</w:t>
      </w:r>
    </w:p>
    <w:p>
      <w:pPr>
        <w:spacing w:after="140"/>
      </w:pPr>
      <w:r>
        <w:t>In many cases, public MLS exposure offers a broad opportunity to reach buyers. But even then, some MLS systems offer choices about which listing details appear publicly.</w:t>
      </w:r>
    </w:p>
    <w:p>
      <w:pPr>
        <w:spacing w:after="140"/>
      </w:pPr>
      <w:r>
        <w:t>We will look at the relevant approaches together, talk through their benefits and tradeoffs, and identify what matters most to you.</w:t>
      </w:r>
    </w:p>
    <w:p>
      <w:pPr>
        <w:spacing w:after="140"/>
      </w:pPr>
      <w:r>
        <w:t>How and where your home appears to the public is an important decision, and it is one you make with the benefit of professional guidance.</w:t>
      </w:r>
    </w:p>
    <w:p>
      <w:pPr>
        <w:spacing w:after="140"/>
      </w:pPr>
      <w:r>
        <w:t>We use the Listing Strategy Decision Record (LSDR™) to guide that discussion and, once you engage us, document the priorities, decisions, and instructions that result.</w:t>
      </w:r>
    </w:p>
    <w:p>
      <w:pPr>
        <w:spacing w:after="140"/>
      </w:pPr>
      <w:r>
        <w:t>You will review and confirm the completed record. It gives you, your agent, and the brokerage a shared reference for putting your strategy into practice.</w:t>
      </w:r>
    </w:p>
    <w:p>
      <w:pPr>
        <w:spacing w:after="140"/>
      </w:pPr>
      <w:r>
        <w:t>Your instructions guide the listing setup, subject to actual MLS capabilities and applicable rules. If an instruction cannot be carried out as written, we clarify it before proceeding.</w:t>
      </w:r>
    </w:p>
    <w:p>
      <w:pPr>
        <w:spacing w:after="140"/>
      </w:pPr>
      <w:r>
        <w:t>Let me show you how we work through these choices together.</w:t>
      </w:r>
    </w:p>
    <w:p>
      <w:r>
        <w:br w:type="page"/>
      </w:r>
    </w:p>
    <w:p>
      <w:pPr>
        <w:pStyle w:val="Heading1"/>
        <w:keepNext/>
      </w:pPr>
      <w:r>
        <w:t xml:space="preserve">2. One-Page Seller Insert</w:t>
      </w:r>
    </w:p>
    <w:p>
      <w:pPr>
        <w:pBdr>
          <w:left w:val="single" w:color="1F3A5F" w:sz="18" w:space="6"/>
        </w:pBdr>
        <w:shd w:fill="EEF2F6" w:color="auto" w:val="clear"/>
        <w:spacing w:after="60"/>
      </w:pPr>
      <w:r>
        <w:rPr>
          <w:color w:val="5A5A5A"/>
          <w:sz w:val="20"/>
          <w:szCs w:val="20"/>
        </w:rPr>
        <w:t xml:space="preserve">Print this page on its own as a seller handout.</w:t>
      </w:r>
    </w:p>
    <w:p>
      <w:pPr>
        <w:spacing w:after="200" w:before="200"/>
      </w:pPr>
      <w:r>
        <w:rPr>
          <w:b/>
          <w:bCs/>
          <w:color w:val="1F3A5F"/>
          <w:sz w:val="30"/>
          <w:szCs w:val="30"/>
        </w:rPr>
        <w:t xml:space="preserve">Your marketing plan matters. So do the decisions behind it.</w:t>
      </w:r>
    </w:p>
    <w:p>
      <w:pPr>
        <w:spacing w:after="140"/>
      </w:pPr>
      <w:r>
        <w:t xml:space="preserve">Selling your home involves more than deciding on a price and preparing it for the market. It also involves decisions about how your property is presented, who can see it, and what information is made public. Our role is to help you understand those choices before you make them.</w:t>
      </w:r>
    </w:p>
    <w:p>
      <w:pPr>
        <w:spacing w:after="80" w:before="160"/>
      </w:pPr>
      <w:r>
        <w:rPr>
          <w:b/>
          <w:bCs/>
          <w:color w:val="1F3A5F"/>
        </w:rPr>
        <w:t xml:space="preserve">Your priorities</w:t>
      </w:r>
    </w:p>
    <w:p>
      <w:pPr>
        <w:spacing w:after="140"/>
      </w:pPr>
      <w:r>
        <w:t xml:space="preserve">We begin by discussing what matters most to you. That might include reaching the broadest possible audience, timing, privacy, control over showings, or other considerations. Your priorities guide the conversation. They aren’t chosen for you.</w:t>
      </w:r>
    </w:p>
    <w:p>
      <w:pPr>
        <w:spacing w:after="80" w:before="160"/>
      </w:pPr>
      <w:r>
        <w:rPr>
          <w:b/>
          <w:bCs/>
          <w:color w:val="1F3A5F"/>
        </w:rPr>
        <w:t xml:space="preserve">Your marketing and public-display choices</w:t>
      </w:r>
    </w:p>
    <w:p>
      <w:pPr>
        <w:spacing w:after="80"/>
      </w:pPr>
      <w:r>
        <w:t xml:space="preserve">Two decisions deserve separate attention:</w:t>
      </w:r>
    </w:p>
    <w:p>
      <w:pPr>
        <w:pStyle w:val="ListParagraph"/>
        <w:numPr>
          <w:ilvl w:val="0"/>
          <w:numId w:val="2"/>
        </w:numPr>
        <w:spacing w:after="80"/>
      </w:pPr>
      <w:r>
        <w:rPr>
          <w:b/>
          <w:bCs/>
        </w:rPr>
        <w:t xml:space="preserve">Listing exposure: </w:t>
      </w:r>
      <w:r>
        <w:t xml:space="preserve">where, when, and to whom your home becomes available.</w:t>
      </w:r>
    </w:p>
    <w:p>
      <w:pPr>
        <w:pStyle w:val="ListParagraph"/>
        <w:numPr>
          <w:ilvl w:val="0"/>
          <w:numId w:val="2"/>
        </w:numPr>
        <w:spacing w:after="80"/>
      </w:pPr>
      <w:r>
        <w:rPr>
          <w:b/>
          <w:bCs/>
        </w:rPr>
        <w:t xml:space="preserve">Public display: </w:t>
      </w:r>
      <w:r>
        <w:t xml:space="preserve">where available, which particular listing details appear on public websites.</w:t>
      </w:r>
    </w:p>
    <w:p>
      <w:pPr>
        <w:spacing w:after="140" w:before="80"/>
      </w:pPr>
      <w:r>
        <w:t xml:space="preserve">Limiting a displayed detail is not the same as limiting exposure for the entire listing, and the information may still be available through the MLS or other sources. Leaving information displayed is also a choice.</w:t>
      </w:r>
    </w:p>
    <w:p>
      <w:pPr>
        <w:spacing w:after="80" w:before="160"/>
      </w:pPr>
      <w:r>
        <w:rPr>
          <w:b/>
          <w:bCs/>
          <w:color w:val="1F3A5F"/>
        </w:rPr>
        <w:t xml:space="preserve">The trade-offs we discuss</w:t>
      </w:r>
    </w:p>
    <w:p>
      <w:pPr>
        <w:spacing w:after="140"/>
      </w:pPr>
      <w:r>
        <w:t xml:space="preserve">Broader exposure may provide access to more buyers, while restricted exposure may offer greater discretion. Similarly, showing more information publicly offers greater visibility of those details, while limiting displayed information may better address certain privacy preferences. We’ll discuss the implications without making the decision for you.</w:t>
      </w:r>
    </w:p>
    <w:p>
      <w:pPr>
        <w:spacing w:after="80" w:before="160"/>
      </w:pPr>
      <w:r>
        <w:rPr>
          <w:b/>
          <w:bCs/>
          <w:color w:val="1F3A5F"/>
        </w:rPr>
        <w:t xml:space="preserve">Your decision and instructions</w:t>
      </w:r>
    </w:p>
    <w:p>
      <w:pPr>
        <w:spacing w:after="140"/>
      </w:pPr>
      <w:r>
        <w:t>After discussing the options and answering your questions, you decide how you want to proceed. Your priorities, choice, and instructions are documented in the Listing Strategy Decision Record (LSDR™).</w:t>
      </w:r>
    </w:p>
    <w:p>
      <w:pPr>
        <w:spacing w:after="140"/>
      </w:pPr>
      <w:r>
        <w:t xml:space="preserve">We use your documented instructions to guide your listing setup in the MLS, alongside required authorizations and applicable rules. If an available setting cannot carry out an instruction as written, we explain the limitation and clarify your instructions with you before proceeding.</w:t>
      </w:r>
    </w:p>
    <w:p>
      <w:pPr>
        <w:spacing w:after="80" w:before="160"/>
      </w:pPr>
      <w:r>
        <w:rPr>
          <w:b/>
          <w:bCs/>
          <w:color w:val="1F3A5F"/>
        </w:rPr>
        <w:t xml:space="preserve">The written record you receive</w:t>
      </w:r>
    </w:p>
    <w:p>
      <w:pPr>
        <w:spacing w:after="140"/>
      </w:pPr>
      <w:r>
        <w:t xml:space="preserve">You’ll review the completed record, we’ll arrange for the signatures and acknowledgment shown in the document, and you’ll receive a copy to review and keep. The LSDR complements the listing agreement and other applicable authorizations.</w:t>
      </w:r>
    </w:p>
    <w:p>
      <w:pPr>
        <w:spacing w:after="80" w:before="160"/>
      </w:pPr>
      <w:r>
        <w:rPr>
          <w:b/>
          <w:bCs/>
          <w:color w:val="1F3A5F"/>
        </w:rPr>
        <w:t xml:space="preserve">What our process includes</w:t>
      </w:r>
    </w:p>
    <w:p>
      <w:pPr>
        <w:spacing w:after="140"/>
      </w:pPr>
      <w:r>
        <w:t xml:space="preserve">We discuss what the available choices mean for your home, give you time for questions, and document your decisions. You review the record, receive a copy to keep, and we use your instructions to guide your listing setup.</w:t>
      </w:r>
    </w:p>
    <w:p>
      <w:r>
        <w:br w:type="page"/>
      </w:r>
    </w:p>
    <w:p>
      <w:pPr>
        <w:pStyle w:val="Heading1"/>
        <w:keepNext/>
      </w:pPr>
      <w:r>
        <w:t xml:space="preserve">3. One Practical Illustration</w:t>
      </w:r>
    </w:p>
    <w:p>
      <w:pPr>
        <w:spacing w:after="140"/>
        <w:rPr>
          <w:b/>
          <w:bCs/>
          <w:i/>
          <w:iCs/>
        </w:rPr>
      </w:pPr>
      <w:r>
        <w:rPr>
          <w:b/>
          <w:bCs/>
          <w:i/>
          <w:iCs/>
        </w:rPr>
        <w:t xml:space="preserve">Hypothetical</w:t>
      </w:r>
    </w:p>
    <w:p>
      <w:pPr>
        <w:spacing w:after="140"/>
      </w:pPr>
      <w:r>
        <w:t xml:space="preserve">Imagine a seller who is concerned about having certain information about their home visible on public websites.</w:t>
      </w:r>
    </w:p>
    <w:p>
      <w:pPr>
        <w:spacing w:after="140"/>
      </w:pPr>
      <w:r>
        <w:t xml:space="preserve">At first, that might sound like a reason to limit how broadly the home is marketed. But those are two separate decisions. One concerns who has access to the listing and when. The other concerns which details appear publicly, where the MLS offers display choices.</w:t>
      </w:r>
    </w:p>
    <w:p>
      <w:pPr>
        <w:spacing w:after="140"/>
      </w:pPr>
      <w:r>
        <w:t xml:space="preserve">We would first explore what specifically concerns the seller, then explain the available options and their limitations. We’d also discuss the trade-offs, such as wider buyer exposure versus greater discretion.</w:t>
      </w:r>
    </w:p>
    <w:p>
      <w:pPr>
        <w:spacing w:after="140"/>
      </w:pPr>
      <w:r>
        <w:t xml:space="preserve">The seller would decide which priorities matter most and what instructions to give. Those decisions would then be documented before the listing is set up.</w:t>
      </w:r>
    </w:p>
    <w:p>
      <w:pPr>
        <w:pBdr>
          <w:left w:val="single" w:color="1F3A5F" w:sz="18" w:space="6"/>
        </w:pBdr>
        <w:shd w:fill="EEF2F6" w:color="auto" w:val="clear"/>
        <w:spacing w:after="60" w:before="240"/>
      </w:pPr>
      <w:r>
        <w:rPr>
          <w:b/>
          <w:bCs/>
          <w:caps/>
          <w:color w:val="1F3A5F"/>
          <w:sz w:val="18"/>
          <w:szCs w:val="18"/>
        </w:rPr>
        <w:t xml:space="preserve">Agent-only cue</w:t>
      </w:r>
    </w:p>
    <w:p>
      <w:pPr>
        <w:pBdr>
          <w:left w:val="single" w:color="1F3A5F" w:sz="18" w:space="6"/>
        </w:pBdr>
        <w:shd w:fill="EEF2F6" w:color="auto" w:val="clear"/>
        <w:spacing w:after="60"/>
      </w:pPr>
      <w:r>
        <w:rPr>
          <w:color w:val="5A5A5A"/>
          <w:sz w:val="20"/>
          <w:szCs w:val="20"/>
        </w:rPr>
        <w:t xml:space="preserve">Point to the field labeled “Field-level display settings.” Explain that this concerns the public display of particular information, not the exposure of the entire listing.</w:t>
      </w:r>
    </w:p>
    <w:p>
      <w:pPr>
        <w:pStyle w:val="Heading1"/>
        <w:keepNext/>
      </w:pPr>
      <w:r>
        <w:t xml:space="preserve">4. Three Open-Ended Seller Questions</w:t>
      </w:r>
    </w:p>
    <w:p>
      <w:pPr>
        <w:pStyle w:val="ListParagraph"/>
        <w:numPr>
          <w:ilvl w:val="0"/>
          <w:numId w:val="3"/>
        </w:numPr>
        <w:spacing w:after="120"/>
      </w:pPr>
      <w:r>
        <w:t xml:space="preserve">What matters most to you in how your home is marketed, and what makes those priorities important?</w:t>
      </w:r>
    </w:p>
    <w:p>
      <w:pPr>
        <w:pStyle w:val="ListParagraph"/>
        <w:numPr>
          <w:ilvl w:val="0"/>
          <w:numId w:val="3"/>
        </w:numPr>
        <w:spacing w:after="120"/>
      </w:pPr>
      <w:r>
        <w:t xml:space="preserve">What would you like to better understand about who can see your listing and which details may appear on public websites?</w:t>
      </w:r>
    </w:p>
    <w:p>
      <w:pPr>
        <w:pStyle w:val="ListParagraph"/>
        <w:numPr>
          <w:ilvl w:val="0"/>
          <w:numId w:val="3"/>
        </w:numPr>
        <w:spacing w:after="120"/>
      </w:pPr>
      <w:r>
        <w:t xml:space="preserve">Which trade-offs between wider exposure, discretion, and public visibility would you most like to explore before making your decision?</w:t>
      </w:r>
    </w:p>
    <w:p>
      <w:pPr>
        <w:pStyle w:val="Heading1"/>
        <w:keepNext/>
      </w:pPr>
      <w:r>
        <w:t>5. Transition to LSDR™</w:t>
      </w:r>
    </w:p>
    <w:p>
      <w:pPr>
        <w:spacing w:after="140"/>
      </w:pPr>
      <w:r>
        <w:t xml:space="preserve">The value of this process starts with the conversation, not the paperwork.</w:t>
      </w:r>
    </w:p>
    <w:p>
      <w:pPr>
        <w:spacing w:after="140"/>
      </w:pPr>
      <w:r>
        <w:t xml:space="preserve">We want you to understand the choices, consider what matters most, and decide what you want us to do.</w:t>
      </w:r>
    </w:p>
    <w:p>
      <w:pPr>
        <w:spacing w:after="140"/>
      </w:pPr>
      <w:r>
        <w:t>The Listing Strategy Decision Record (LSDR™) brings that discussion together. It reflects your priorities, documents your decision, and captures the instructions that guide how we set up your listing.</w:t>
      </w:r>
    </w:p>
    <w:p>
      <w:pPr>
        <w:spacing w:after="140"/>
      </w:pPr>
      <w:r>
        <w:t xml:space="preserve">We’ll review it with you, and if an instruction can’t be carried out as written, we’ll clarify it before proceeding.</w:t>
      </w:r>
    </w:p>
    <w:p>
      <w:pPr>
        <w:spacing w:after="140"/>
      </w:pPr>
      <w:r>
        <w:t>Let’s begin with what matters most to you and then look at the choices relevant to your home.</w:t>
      </w:r>
    </w:p>
    <w:p>
      <w:pPr>
        <w:pBdr>
          <w:left w:val="single" w:color="1F3A5F" w:sz="18" w:space="6"/>
        </w:pBdr>
        <w:shd w:fill="EEF2F6" w:color="auto" w:val="clear"/>
        <w:spacing w:after="60" w:before="240"/>
      </w:pPr>
      <w:r>
        <w:rPr>
          <w:b/>
          <w:bCs/>
          <w:caps/>
          <w:color w:val="1F3A5F"/>
          <w:sz w:val="18"/>
          <w:szCs w:val="18"/>
        </w:rPr>
        <w:t xml:space="preserve">Agent-only presentation cues</w:t>
      </w:r>
    </w:p>
    <w:p>
      <w:pPr>
        <w:pBdr>
          <w:left w:val="single" w:color="1F3A5F" w:sz="18" w:space="6"/>
        </w:pBdr>
        <w:shd w:fill="EEF2F6" w:color="auto" w:val="clear"/>
        <w:spacing w:after="60"/>
      </w:pPr>
      <w:r>
        <w:rPr>
          <w:color w:val="5A5A5A"/>
          <w:sz w:val="20"/>
          <w:szCs w:val="20"/>
        </w:rPr>
        <w:t xml:space="preserve">Show the section labeled “Side-by-side comparison.”</w:t>
      </w:r>
    </w:p>
    <w:p>
      <w:pPr>
        <w:pBdr>
          <w:left w:val="single" w:color="1F3A5F" w:sz="18" w:space="6"/>
        </w:pBdr>
        <w:shd w:fill="EEF2F6" w:color="auto" w:val="clear"/>
        <w:spacing w:after="60"/>
      </w:pPr>
      <w:r>
        <w:rPr>
          <w:color w:val="5A5A5A"/>
          <w:sz w:val="20"/>
          <w:szCs w:val="20"/>
        </w:rPr>
        <w:t xml:space="preserve">Show the section labeled “Your priorities, ranked.”</w:t>
      </w:r>
    </w:p>
    <w:p>
      <w:pPr>
        <w:pBdr>
          <w:left w:val="single" w:color="1F3A5F" w:sz="18" w:space="6"/>
        </w:pBdr>
        <w:shd w:fill="EEF2F6" w:color="auto" w:val="clear"/>
        <w:spacing w:after="60"/>
      </w:pPr>
      <w:r>
        <w:rPr>
          <w:color w:val="5A5A5A"/>
          <w:sz w:val="20"/>
          <w:szCs w:val="20"/>
        </w:rPr>
        <w:t xml:space="preserve">Show the section labeled “Restricted-marketing fallback trigger” only if the seller is considering restricted marketing.</w:t>
      </w:r>
    </w:p>
    <w:p>
      <w:pPr>
        <w:pBdr>
          <w:left w:val="single" w:color="1F3A5F" w:sz="18" w:space="6"/>
        </w:pBdr>
        <w:shd w:fill="EEF2F6" w:color="auto" w:val="clear"/>
        <w:spacing w:after="60" w:before="240"/>
      </w:pPr>
      <w:r>
        <w:rPr>
          <w:b/>
          <w:bCs/>
          <w:caps/>
          <w:color w:val="1F3A5F"/>
          <w:sz w:val="18"/>
          <w:szCs w:val="18"/>
        </w:rPr>
        <w:t xml:space="preserve">Agent-only notes</w:t>
      </w:r>
    </w:p>
    <w:p>
      <w:pPr>
        <w:pBdr>
          <w:left w:val="single" w:color="1F3A5F" w:sz="18" w:space="6"/>
        </w:pBdr>
        <w:shd w:fill="EEF2F6" w:color="auto" w:val="clear"/>
        <w:spacing w:after="60"/>
      </w:pPr>
      <w:r>
        <w:rPr>
          <w:color w:val="5A5A5A"/>
          <w:sz w:val="20"/>
          <w:szCs w:val="20"/>
        </w:rPr>
        <w:t xml:space="preserve">A field in the LSDR does not establish that a setting is available in your MLS.</w:t>
      </w:r>
    </w:p>
    <w:p>
      <w:pPr>
        <w:pBdr>
          <w:left w:val="single" w:color="1F3A5F" w:sz="18" w:space="6"/>
        </w:pBdr>
        <w:shd w:fill="EEF2F6" w:color="auto" w:val="clear"/>
        <w:spacing w:after="60"/>
      </w:pPr>
      <w:r>
        <w:rPr>
          <w:color w:val="5A5A5A"/>
          <w:sz w:val="20"/>
          <w:szCs w:val="20"/>
        </w:rPr>
        <w:t xml:space="preserve">The restricted-marketing fallback applies only when that path is selected. It is not a condition of public marketing.</w:t>
      </w:r>
    </w:p>
    <w:p>
      <w:pPr>
        <w:pBdr>
          <w:left w:val="single" w:color="1F3A5F" w:sz="18" w:space="6"/>
        </w:pBdr>
        <w:shd w:fill="EEF2F6" w:color="auto" w:val="clear"/>
        <w:spacing w:after="60"/>
      </w:pPr>
      <w:r>
        <w:rPr>
          <w:color w:val="5A5A5A"/>
          <w:sz w:val="20"/>
          <w:szCs w:val="20"/>
        </w:rPr>
        <w:t>LSDR™ records the discussion and decision. MLS entry, settings, and outcomes are documented separately.</w:t>
      </w:r>
    </w:p>
    <w:p>
      <w:pPr>
        <w:pBdr>
          <w:left w:val="single" w:color="1F3A5F" w:sz="18" w:space="6"/>
        </w:pBdr>
        <w:shd w:fill="EEF2F6" w:color="auto" w:val="clear"/>
        <w:spacing w:after="60"/>
      </w:pPr>
      <w:r>
        <w:rPr>
          <w:color w:val="5A5A5A"/>
          <w:sz w:val="20"/>
          <w:szCs w:val="20"/>
        </w:rPr>
        <w:t xml:space="preserve">The illustration is not a proposed seller decision.</w:t>
      </w:r>
    </w:p>
    <w:p>
      <w:pPr>
        <w:pStyle w:val="KitSection"/>
      </w:pPr>
      <w:r>
        <w:t>6. Three Approaches — Seller Presentation Aid</w:t>
      </w:r>
    </w:p>
    <w:p>
      <w:r>
        <w:t>Use these concise, balanced descriptions in an existing presentation. They are discussion aids, not a decision form and not substitutes for the official LSDR.</w:t>
      </w:r>
    </w:p>
    <w:p>
      <w:pPr>
        <w:pStyle w:val="KitSubsection"/>
      </w:pPr>
      <w:r>
        <w:t>Public MLS, standard display</w:t>
      </w:r>
    </w:p>
    <w:p>
      <w:r>
        <w:t>What it is: Public MLS listing with standard public display.  Potential benefit: A broad opportunity to reach buyers from the first day.  Tradeoff: Less control over timing and the history that can build up.</w:t>
      </w:r>
    </w:p>
    <w:p>
      <w:pPr>
        <w:pStyle w:val="KitSubsection"/>
      </w:pPr>
      <w:r>
        <w:t>Public MLS, available display choices</w:t>
      </w:r>
    </w:p>
    <w:p>
      <w:r>
        <w:t>What it is: Public MLS listing with available field-level public-display selections, depending on the MLS.  Potential benefit: More say over which details the listing displays publicly.  Tradeoff: Less information shown publicly; the same information may remain available elsewhere.</w:t>
      </w:r>
    </w:p>
    <w:p>
      <w:pPr>
        <w:pStyle w:val="KitSubsection"/>
      </w:pPr>
      <w:r>
        <w:t>Limited marketing, with a chosen endpoint</w:t>
      </w:r>
    </w:p>
    <w:p>
      <w:r>
        <w:t>What it is: A restricted start when seller circumstances make it relevant, with a seller-selected endpoint documented in advance.  Potential benefit: Potentially more discretion and control over timing.  Tradeoff: Fewer buyers may see the property while the restriction lasts.</w:t>
      </w:r>
    </w:p>
    <w:p>
      <w:pPr>
        <w:pStyle w:val="KitSection"/>
        <w:keepNext/>
        <w:pageBreakBefore/>
      </w:pPr>
      <w:r>
        <w:t>7. COPY &amp; PASTE AI PROMPT — Customize Your Listing Presentation</w:t>
      </w:r>
    </w:p>
    <w:p>
      <w:pPr>
        <w:keepNext/>
      </w:pPr>
      <w:r>
        <w:t>Copy everything inside the shaded prompt box below into ChatGPT or Claude. Attach your existing listing presentation, if available. The AI will first ask you for any missing details and wait for your answers before drafting.</w:t>
      </w:r>
    </w:p>
    <w:p>
      <w:pPr>
        <w:spacing w:before="200" w:after="280"/>
        <w:ind w:left="230" w:right="230"/>
        <w:shd w:fill="F3EFE6"/>
        <w:pBdr>
          <w:left w:val="single" w:sz="22" w:color="B8934A" w:space="8"/>
        </w:pBdr>
      </w:pPr>
      <w:r>
        <w:rPr>
          <w:b/>
          <w:sz w:val="18"/>
        </w:rPr>
        <w:t>START OF PROMPT — COPY FROM HERE</w:t>
      </w:r>
      <w:r>
        <w:rPr>
          <w:sz w:val="18"/>
        </w:rPr>
        <w:br/>
        <w:br/>
        <w:t>I want to add a seller-choice section to my existing real estate listing presentation. Help me adapt it to my voice, branding, local MLS, and appointment workflow.</w:t>
        <w:br/>
        <w:br/>
        <w:t>IMPORTANT — FIRST RESPONSE ONLY: Before writing or revising any presentation content, review what I have supplied and ask me for any information you still need. At minimum, determine: (1) whether I have attached my existing presentation or need a standalone insert; (2) my market and MLS, plus which field-level display options I have verified; (3) whether I use a one-step or two-step listing appointment; (4) my preferred tone/branding; and (5) whether I have access to a purchased/configured LSDR or am working only from the public demonstration. Ask concise, grouped questions; do not assume answers that are missing. Wait for my reply before executing. If I cannot verify MLS-specific features, use conditional wording rather than inventing them.</w:t>
        <w:br/>
        <w:br/>
        <w:t>AFTER I ANSWER: Adapt my existing listing presentation to include a concise section titled “How Your Home Appears to the Public.” Preserve my branding, pricing analysis, marketing plan, tone, and workflow. Place the section after pricing/net and before preparation/marketing where that structure exists. Present three approaches neutrally: public MLS with standard display; public MLS with available field-level display choices; and a limited start with a seller-selected, documented endpoint where permitted. For each, briefly explain what it is, potential benefits, and tradeoffs. Do not promise a price outcome, privacy, buyer exposure, syndication, or specific portal display.</w:t>
        <w:br/>
        <w:br/>
        <w:t>Add a short spoken transition that invites the seller to share priorities and participate in the decision. Explain that the actual seller-specific decision and confirmed instructions are documented through the official purchased LSDR after engagement. This is a listing-presentation aid, not an LSDR. Do not create an LSDR template, seller questionnaire replacing LSDR, completed decision record, signature authorization, or consent form. If a sample is called for, insert exactly: [Show the official LSDR sample here.] Never imply that the kit includes an LSDR license.</w:t>
        <w:br/>
        <w:br/>
        <w:t>DELIVER: (1) ready-to-use presentation section; (2) approximately 60-second spoken transition; (3) brief placement/formatting instructions tailored to my existing materials. Clearly identify any unverified MLS-dependent wording that I must check before using it.</w:t>
        <w:br/>
        <w:br/>
      </w:r>
      <w:r>
        <w:rPr>
          <w:b/>
          <w:sz w:val="18"/>
        </w:rPr>
        <w:t>END OF PROMPT — STOP COPYING HERE</w:t>
      </w:r>
    </w:p>
    <w:p>
      <w:pPr>
        <w:pStyle w:val="KitSection"/>
      </w:pPr>
      <w:r>
        <w:t>8. Using the Sample Page</w:t>
      </w:r>
    </w:p>
    <w:p>
      <w:r>
        <w:t>The separate editable sample page is a presentation illustration only. Replace its example branding, confirm available local choices, and insert into your CMA or listing presentation. It does not record the seller’s choices, determine instructions, or confer an LSDR license.</w:t>
      </w:r>
    </w:p>
    <w:p>
      <w:pPr>
        <w:pStyle w:val="Heading1"/>
        <w:keepNext/>
      </w:pPr>
      <w:r>
        <w:t xml:space="preserve">Resources</w:t>
      </w:r>
    </w:p>
    <w:p>
      <w:pPr>
        <w:pStyle w:val="ListParagraph"/>
        <w:numPr>
          <w:ilvl w:val="0"/>
          <w:numId w:val="2"/>
        </w:numPr>
        <w:spacing w:after="80"/>
      </w:pPr>
      <w:r>
        <w:rPr>
          <w:b/>
          <w:bCs/>
        </w:rPr>
        <w:t xml:space="preserve">Walkthrough video: </w:t>
      </w:r>
      <w:r>
        <w:t xml:space="preserve">https://youtu.be/M5ZBTUVEeEE</w:t>
      </w:r>
    </w:p>
    <w:p>
      <w:pPr>
        <w:pStyle w:val="ListParagraph"/>
        <w:numPr>
          <w:ilvl w:val="0"/>
          <w:numId w:val="2"/>
        </w:numPr>
        <w:spacing w:after="80"/>
      </w:pPr>
      <w:r>
        <w:rPr>
          <w:b/>
          <w:bCs/>
        </w:rPr>
        <w:t xml:space="preserve">LSDR demonstration: </w:t>
      </w:r>
      <w:r>
        <w:t xml:space="preserve">https://lsdr.ltccapitalholdings.com/demo/</w:t>
      </w:r>
    </w:p>
    <w:p>
      <w:pPr>
        <w:pStyle w:val="ListParagraph"/>
        <w:numPr>
          <w:ilvl w:val="0"/>
          <w:numId w:val="2"/>
        </w:numPr>
        <w:spacing w:after="80"/>
      </w:pPr>
      <w:r>
        <w:rPr>
          <w:b/>
          <w:bCs/>
        </w:rPr>
        <w:t xml:space="preserve">Get your own LSDR: </w:t>
      </w:r>
      <w:r>
        <w:t xml:space="preserve">https://lsdr.ltccapitalholdings.com/configure/ (each agent enrolls individually; $297 one-time enrollment, then $99/year)</w:t>
      </w:r>
    </w:p>
    <w:p>
      <w:pPr>
        <w:pStyle w:val="ListParagraph"/>
        <w:numPr>
          <w:ilvl w:val="0"/>
          <w:numId w:val="2"/>
        </w:numPr>
        <w:spacing w:after="80"/>
      </w:pPr>
      <w:r>
        <w:rPr>
          <w:b/>
          <w:bCs/>
        </w:rPr>
        <w:t xml:space="preserve">Kit and optional AI prompt: </w:t>
      </w:r>
      <w:r>
        <w:t xml:space="preserve">https://lsdr.ltccapitalholdings.com/kit/</w:t>
      </w:r>
    </w:p>
    <w:sectPr>
      <w:footerReference w:type="default" r:id="rId6"/>
      <w:pgSz w:w="12240" w:h="15840" w:orient="portrait"/>
      <w:pgMar w:top="1260" w:right="1440" w:bottom="1260" w:left="144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A5A5A"/>
        <w:sz w:val="16"/>
        <w:szCs w:val="16"/>
      </w:rPr>
      <w:t>Listing Strategy Decision Record (LSDR™) · Published by LTC Capital, LLC · lsdr.ltccapitalholdings.com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540" w:hanging="270"/>
      </w:pPr>
    </w:lvl>
  </w:abstractNum>
  <w:abstractNum w:abstractNumId="3" w15:restartNumberingAfterBreak="0">
    <w:multiLevelType w:val="hybridMultilevel"/>
    <w:lvl w:ilvl="0" w:tentative="1">
      <w:start w:val="1"/>
      <w:numFmt w:val="decimal"/>
      <w:lvlText w:val="%1."/>
      <w:lvlJc w:val="left"/>
      <w:pPr>
        <w:ind w:left="54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Normal" w:default="1">
    <w:name w:val="Normal"/>
    <w:qFormat/>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pPr>
      <w:spacing w:after="120"/>
    </w:pPr>
    <w:rPr>
      <w:b/>
      <w:bCs/>
      <w:color w:val="1F3A5F"/>
      <w:sz w:val="44"/>
      <w:szCs w:val="44"/>
    </w:rPr>
  </w:style>
  <w:style w:type="paragraph" w:styleId="Heading1">
    <w:name w:val="Heading 1"/>
    <w:basedOn w:val="Normal"/>
    <w:next w:val="Normal"/>
    <w:qFormat/>
    <w:pPr>
      <w:pBdr>
        <w:bottom w:val="single" w:color="C9D3DE" w:sz="6" w:space="4"/>
      </w:pBdr>
      <w:spacing w:after="160" w:before="360"/>
      <w:outlineLvl w:val="0"/>
    </w:pPr>
    <w:rPr>
      <w:b/>
      <w:bCs/>
      <w:color w:val="1F3A5F"/>
      <w:sz w:val="28"/>
      <w:szCs w:val="28"/>
    </w:rPr>
  </w:style>
  <w:style w:type="paragraph" w:customStyle="1" w:styleId="KitSection">
    <w:name w:val="Kit Section"/>
    <w:rPr>
      <w:b/>
      <w:sz w:val="28"/>
    </w:rPr>
  </w:style>
  <w:style w:type="paragraph" w:customStyle="1" w:styleId="KitSubsection">
    <w:name w:val="Kit Subsection"/>
    <w:rPr>
      <w:b/>
      <w:sz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footnotes" Target="footnot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openxmlformats.org/officeDocument/2006/relationships/endnotes" Target="end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664FA20FEEBA45A04E2FA04D333E08" ma:contentTypeVersion="23" ma:contentTypeDescription="Create a new document." ma:contentTypeScope="" ma:versionID="251785076d82dede79a19f184bb9a962">
  <xsd:schema xmlns:xsd="http://www.w3.org/2001/XMLSchema" xmlns:xs="http://www.w3.org/2001/XMLSchema" xmlns:p="http://schemas.microsoft.com/office/2006/metadata/properties" xmlns:ns2="cf8f96e3-6c17-4997-b77b-6f3a5200cad1" xmlns:ns3="28e1dae0-be69-430b-be14-35e4f36bf4c2" targetNamespace="http://schemas.microsoft.com/office/2006/metadata/properties" ma:root="true" ma:fieldsID="cd0ed11a1174348a5861544dbd2d3c08" ns2:_="" ns3:_="">
    <xsd:import namespace="cf8f96e3-6c17-4997-b77b-6f3a5200cad1"/>
    <xsd:import namespace="28e1dae0-be69-430b-be14-35e4f36bf4c2"/>
    <xsd:element name="properties">
      <xsd:complexType>
        <xsd:sequence>
          <xsd:element name="documentManagement">
            <xsd:complexType>
              <xsd:all>
                <xsd:element ref="ns2:MediaServiceMetadata" minOccurs="0"/>
                <xsd:element ref="ns2:MediaServiceFastMetadata" minOccurs="0"/>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8f96e3-6c17-4997-b77b-6f3a5200ca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igrationWizId" ma:index="10" nillable="true" ma:displayName="MigrationWizId" ma:internalName="MigrationWizId">
      <xsd:simpleType>
        <xsd:restriction base="dms:Text"/>
      </xsd:simpleType>
    </xsd:element>
    <xsd:element name="MigrationWizIdPermissions" ma:index="11" nillable="true" ma:displayName="MigrationWizIdPermissions" ma:internalName="MigrationWizIdPermissions">
      <xsd:simpleType>
        <xsd:restriction base="dms:Text"/>
      </xsd:simpleType>
    </xsd:element>
    <xsd:element name="MigrationWizIdPermissionLevels" ma:index="12" nillable="true" ma:displayName="MigrationWizIdPermissionLevels" ma:internalName="MigrationWizIdPermissionLevels">
      <xsd:simpleType>
        <xsd:restriction base="dms:Text"/>
      </xsd:simpleType>
    </xsd:element>
    <xsd:element name="MigrationWizIdDocumentLibraryPermissions" ma:index="13" nillable="true" ma:displayName="MigrationWizIdDocumentLibraryPermissions" ma:internalName="MigrationWizIdDocumentLibraryPermissions">
      <xsd:simpleType>
        <xsd:restriction base="dms:Text"/>
      </xsd:simpleType>
    </xsd:element>
    <xsd:element name="MigrationWizIdSecurityGroups" ma:index="14" nillable="true" ma:displayName="MigrationWizIdSecurityGroups" ma:internalName="MigrationWizIdSecurityGroups">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63c6ac17-d6e1-429c-8978-148dd17f8b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1dae0-be69-430b-be14-35e4f36bf4c2"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TaxCatchAll" ma:index="28" nillable="true" ma:displayName="Taxonomy Catch All Column" ma:hidden="true" ma:list="{65879278-841b-469e-9c52-ad9cfd13e8d7}" ma:internalName="TaxCatchAll" ma:showField="CatchAllData" ma:web="28e1dae0-be69-430b-be14-35e4f36bf4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f8f96e3-6c17-4997-b77b-6f3a5200cad1">
      <Terms xmlns="http://schemas.microsoft.com/office/infopath/2007/PartnerControls"/>
    </lcf76f155ced4ddcb4097134ff3c332f>
    <TaxCatchAll xmlns="28e1dae0-be69-430b-be14-35e4f36bf4c2" xsi:nil="true"/>
    <MigrationWizIdDocumentLibraryPermissions xmlns="cf8f96e3-6c17-4997-b77b-6f3a5200cad1" xsi:nil="true"/>
    <MigrationWizId xmlns="cf8f96e3-6c17-4997-b77b-6f3a5200cad1" xsi:nil="true"/>
    <MigrationWizIdPermissionLevels xmlns="cf8f96e3-6c17-4997-b77b-6f3a5200cad1" xsi:nil="true"/>
    <MigrationWizIdSecurityGroups xmlns="cf8f96e3-6c17-4997-b77b-6f3a5200cad1" xsi:nil="true"/>
    <MigrationWizIdPermissions xmlns="cf8f96e3-6c17-4997-b77b-6f3a5200cad1" xsi:nil="true"/>
  </documentManagement>
</p:properties>
</file>

<file path=customXml/itemProps1.xml><?xml version="1.0" encoding="utf-8"?>
<ds:datastoreItem xmlns:ds="http://schemas.openxmlformats.org/officeDocument/2006/customXml" ds:itemID="{844322C2-C64A-4270-A4EB-6118F0055F9E}"/>
</file>

<file path=customXml/itemProps2.xml><?xml version="1.0" encoding="utf-8"?>
<ds:datastoreItem xmlns:ds="http://schemas.openxmlformats.org/officeDocument/2006/customXml" ds:itemID="{268277FA-4050-4108-AD2B-03DA478B656F}"/>
</file>

<file path=customXml/itemProps3.xml><?xml version="1.0" encoding="utf-8"?>
<ds:datastoreItem xmlns:ds="http://schemas.openxmlformats.org/officeDocument/2006/customXml" ds:itemID="{E29FD62C-8639-447C-97E9-35D7DA7DADA4}"/>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2026-10-27T17:16:16Z</dcterms:created>
  <dcterms:modified xsi:type="dcterms:W3CDTF">2026-10-27T17:16:16Z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0x010100D7664FA20FEEBA45A04E2FA04D333E08</vt:lpwstr>
  </property>
</Properties>
</file>